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center"/>
      </w:pPr>
      <w:r>
        <w:rPr>
          <w:b/>
        </w:rPr>
        <w:t>BASES DE LA CAMPAÑA PROMOCIONAL</w:t>
      </w:r>
    </w:p>
    <w:p>
      <w:pPr>
        <w:jc w:val="center"/>
      </w:pPr>
      <w:r>
        <w:rPr>
          <w:b/>
        </w:rPr>
        <w:t>«AÑADE ACCESORIOS Y CONSIGUE UN DESCUENTO»</w:t>
      </w:r>
    </w:p>
    <w:p>
      <w:pPr>
        <w:jc w:val="center"/>
      </w:pPr>
      <w:r>
        <w:rPr>
          <w:b/>
        </w:rPr>
        <w:t>(en adelante, el «Reglamento»)</w:t>
      </w:r>
    </w:p>
    <w:p>
      <w:pPr>
        <w:spacing w:before="240"/>
      </w:pPr>
      <w:r>
        <w:rPr>
          <w:b/>
        </w:rPr>
        <w:t>I. DISPOSICIONES GENERALES</w:t>
      </w:r>
    </w:p>
    <w:p>
      <w:pPr>
        <w:tabs>
          <w:tab w:pos="720" w:val="left"/>
        </w:tabs>
        <w:ind w:left="720" w:hanging="432"/>
        <w:jc w:val="both"/>
      </w:pPr>
      <w:r>
        <w:t>1.</w:t>
        <w:tab/>
      </w:r>
      <w:r>
        <w:rPr>
          <w:b w:val="0"/>
        </w:rPr>
        <w:t>El objeto del presente Reglamento es establecer las bases de la campaña promocional «</w:t>
      </w:r>
      <w:r>
        <w:rPr>
          <w:b/>
        </w:rPr>
        <w:t>AÑADE ACCESORIOS Y CONSIGUE UN DESCUENTO</w:t>
      </w:r>
      <w:r>
        <w:rPr>
          <w:b w:val="0"/>
        </w:rPr>
        <w:t>» (en adelante, la «</w:t>
      </w:r>
      <w:r>
        <w:rPr>
          <w:b/>
        </w:rPr>
        <w:t>Promoción</w:t>
      </w:r>
      <w:r>
        <w:rPr>
          <w:b w:val="0"/>
        </w:rPr>
        <w:t>»).</w:t>
      </w:r>
    </w:p>
    <w:p>
      <w:pPr>
        <w:tabs>
          <w:tab w:pos="720" w:val="left"/>
        </w:tabs>
        <w:ind w:left="720" w:hanging="432"/>
        <w:jc w:val="both"/>
      </w:pPr>
      <w:r>
        <w:t>2.</w:t>
        <w:tab/>
      </w:r>
      <w:r>
        <w:rPr>
          <w:b w:val="0"/>
        </w:rPr>
        <w:t>El Organizador es Packhelp Spółka Akcyjna, con domicilio social en Varsovia, ul. Kolejowa 5/7, 01-217 Varsovia, inscrita en el registro de empresarios del Registro Judicial Nacional llevado por el Juzgado de Distrito de la Capital de Varsovia, XIII División Mercantil del Registro Judicial Nacional, con el número KRS 0000831872, titular del número de identificación fiscal NIP 1231308129 y del número estadístico REGON 362932312, con un capital social de 167.137,60 zł (en adelante, el «</w:t>
      </w:r>
      <w:r>
        <w:rPr>
          <w:b/>
        </w:rPr>
        <w:t>Organizador</w:t>
      </w:r>
      <w:r>
        <w:rPr>
          <w:b w:val="0"/>
        </w:rPr>
        <w:t>»).</w:t>
      </w:r>
    </w:p>
    <w:p>
      <w:pPr>
        <w:tabs>
          <w:tab w:pos="720" w:val="left"/>
        </w:tabs>
        <w:ind w:left="720" w:hanging="432"/>
        <w:jc w:val="both"/>
      </w:pPr>
      <w:r>
        <w:t>3.</w:t>
        <w:tab/>
      </w:r>
      <w:r>
        <w:rPr>
          <w:b w:val="0"/>
        </w:rPr>
        <w:t>Cada Participante en la Promoción debe familiarizarse con el contenido del presente Reglamento, que establece las reglas y condiciones de participación en la Promoción. La participación en la Promoción es voluntaria. La participación en la Promoción supone la aceptación por parte del Participante de las condiciones de la Promoción establecidas en el presente Reglamento. La Promoción se desarrolla desde el 04.08.2026 a partir de las 8:00:00 hasta el 17.08.2026 hasta las 23:59:59.</w:t>
      </w:r>
    </w:p>
    <w:p>
      <w:pPr>
        <w:tabs>
          <w:tab w:pos="720" w:val="left"/>
        </w:tabs>
        <w:ind w:left="720" w:hanging="432"/>
        <w:jc w:val="both"/>
      </w:pPr>
      <w:r>
        <w:t>4.</w:t>
        <w:tab/>
      </w:r>
      <w:r>
        <w:rPr>
          <w:b w:val="0"/>
        </w:rPr>
        <w:t>La Promoción consiste en lo siguiente: el Participante que realice una compra durante el período de la Promoción en el Organizador, en el sitio web con la dirección: https://opakowania.inpost.pl/pl-pl, tras añadir a la cesta productos de la categoría «Accesorios», obtendrá un descuento del 12% (doce por ciento) sobre la totalidad del pedido (el «</w:t>
      </w:r>
      <w:r>
        <w:rPr>
          <w:b/>
        </w:rPr>
        <w:t>Contrato</w:t>
      </w:r>
      <w:r>
        <w:rPr>
          <w:b w:val="0"/>
        </w:rPr>
        <w:t>»). El descuento se aplicará automáticamente.</w:t>
      </w:r>
    </w:p>
    <w:p>
      <w:pPr>
        <w:tabs>
          <w:tab w:pos="720" w:val="left"/>
        </w:tabs>
        <w:ind w:left="720" w:hanging="432"/>
        <w:jc w:val="both"/>
      </w:pPr>
      <w:r>
        <w:t>5.</w:t>
        <w:tab/>
      </w:r>
      <w:r>
        <w:rPr>
          <w:b w:val="0"/>
        </w:rPr>
        <w:t>La participación en la Promoción es posible para el Participante que cumpla conjuntamente las siguientes condiciones:</w:t>
      </w:r>
    </w:p>
    <w:p>
      <w:pPr>
        <w:tabs>
          <w:tab w:pos="1440" w:val="left"/>
        </w:tabs>
        <w:ind w:left="1440" w:hanging="576"/>
        <w:jc w:val="both"/>
      </w:pPr>
      <w:r>
        <w:t>5.1.</w:t>
        <w:tab/>
      </w:r>
      <w:r>
        <w:rPr>
          <w:b w:val="0"/>
        </w:rPr>
        <w:t>acepta el contenido del presente Reglamento;</w:t>
      </w:r>
    </w:p>
    <w:p>
      <w:pPr>
        <w:tabs>
          <w:tab w:pos="1440" w:val="left"/>
        </w:tabs>
        <w:ind w:left="1440" w:hanging="576"/>
        <w:jc w:val="both"/>
      </w:pPr>
      <w:r>
        <w:t>5.2.</w:t>
        <w:tab/>
      </w:r>
      <w:r>
        <w:rPr>
          <w:b w:val="0"/>
        </w:rPr>
        <w:t>celebra el Contrato durante el período de la Promoción.</w:t>
      </w:r>
    </w:p>
    <w:p>
      <w:pPr>
        <w:tabs>
          <w:tab w:pos="720" w:val="left"/>
        </w:tabs>
        <w:ind w:left="720" w:hanging="432"/>
        <w:jc w:val="both"/>
      </w:pPr>
      <w:r>
        <w:t>6.</w:t>
        <w:tab/>
      </w:r>
      <w:r>
        <w:rPr>
          <w:b w:val="0"/>
        </w:rPr>
        <w:t>Las condiciones de la presente Promoción no son acumulables con otras campañas promocionales anunciadas por el Organizador.</w:t>
      </w:r>
    </w:p>
    <w:p>
      <w:pPr>
        <w:spacing w:before="240"/>
      </w:pPr>
      <w:r>
        <w:rPr>
          <w:b/>
        </w:rPr>
        <w:t>II. PROCEDIMIENTO DE RECLAMACIÓN</w:t>
      </w:r>
    </w:p>
    <w:p>
      <w:pPr>
        <w:tabs>
          <w:tab w:pos="720" w:val="left"/>
        </w:tabs>
        <w:ind w:left="720" w:hanging="432"/>
        <w:jc w:val="both"/>
      </w:pPr>
      <w:r>
        <w:t>1.</w:t>
        <w:tab/>
      </w:r>
      <w:r>
        <w:rPr>
          <w:b w:val="0"/>
        </w:rPr>
        <w:t>Las reclamaciones relativas al desarrollo de la Promoción podrán presentarse por escrito en la dirección: Packhelp S.A., con domicilio social en Varsovia, ul. Kolejowa 5/7, 01-217 Varsovia, o por vía electrónica enviando un mensaje a la dirección de correo electrónico: kontakt@instore.com. La reclamación deberá incluir una nota que indique que se refiere a la presente Promoción, así como el nombre y los apellidos o la denominación del Participante que presenta la reclamación, su dirección o dirección electrónica (según el método de contacto elegido con el Organizador) y una descripción precisa e indicación del motivo de la reclamación.</w:t>
      </w:r>
    </w:p>
    <w:p>
      <w:pPr>
        <w:tabs>
          <w:tab w:pos="720" w:val="left"/>
        </w:tabs>
        <w:ind w:left="720" w:hanging="432"/>
        <w:jc w:val="both"/>
      </w:pPr>
      <w:r>
        <w:t>2.</w:t>
        <w:tab/>
      </w:r>
      <w:r>
        <w:rPr>
          <w:b w:val="0"/>
        </w:rPr>
        <w:t>Las reclamaciones podrán presentarse durante el período de la Promoción y en el plazo de 30 días a partir de su finalización. La fecha de presentación de la reclamación será la fecha de envío por correo postal o de envío por correo electrónico de la reclamación al Organizador. A petición del Organizador, el Participante deberá acreditar las circunstancias que demuestren el cumplimiento de los plazos mencionados.</w:t>
      </w:r>
    </w:p>
    <w:p>
      <w:pPr>
        <w:tabs>
          <w:tab w:pos="720" w:val="left"/>
        </w:tabs>
        <w:ind w:left="720" w:hanging="432"/>
        <w:jc w:val="both"/>
      </w:pPr>
      <w:r>
        <w:t>3.</w:t>
        <w:tab/>
      </w:r>
      <w:r>
        <w:rPr>
          <w:b w:val="0"/>
        </w:rPr>
        <w:t>Tras recibir una reclamación de conformidad con los puntos II.1 y II.2, el Organizador responderá a la misma en un plazo de 14 (catorce) días naturales a partir de la fecha de entrega de la reclamación al Organizador. La respuesta a la reclamación se facilitará por escrito por correo postal o por correo electrónico, según cómo se haya presentado la reclamación.</w:t>
      </w:r>
    </w:p>
    <w:p>
      <w:pPr>
        <w:tabs>
          <w:tab w:pos="720" w:val="left"/>
        </w:tabs>
        <w:ind w:left="720" w:hanging="432"/>
        <w:jc w:val="both"/>
      </w:pPr>
      <w:r>
        <w:t>4.</w:t>
        <w:tab/>
      </w:r>
      <w:r>
        <w:rPr>
          <w:b w:val="0"/>
        </w:rPr>
        <w:t>Una vez agotado el procedimiento de reclamación, el Cliente tiene derecho a reclamar las pretensiones no reconocidas ante un tribunal ordinario.</w:t>
      </w:r>
    </w:p>
    <w:p>
      <w:pPr>
        <w:tabs>
          <w:tab w:pos="720" w:val="left"/>
        </w:tabs>
        <w:ind w:left="720" w:hanging="432"/>
        <w:jc w:val="both"/>
      </w:pPr>
      <w:r>
        <w:t>5.</w:t>
        <w:tab/>
      </w:r>
      <w:r>
        <w:rPr>
          <w:b w:val="0"/>
        </w:rPr>
        <w:t>El Participante tiene la posibilidad de recurrir a métodos extrajudiciales de resolución de reclamaciones y de reclamación de pretensiones, entre otros:</w:t>
      </w:r>
    </w:p>
    <w:p>
      <w:pPr>
        <w:tabs>
          <w:tab w:pos="1440" w:val="left"/>
        </w:tabs>
        <w:ind w:left="1440" w:hanging="576"/>
        <w:jc w:val="both"/>
      </w:pPr>
      <w:r>
        <w:t>a)</w:t>
        <w:tab/>
      </w:r>
      <w:r>
        <w:rPr>
          <w:b w:val="0"/>
        </w:rPr>
        <w:t>dirigirse al inspector regional de la Inspección de Comercio (Inspekcja Handlowa) con una solicitud de inicio de un procedimiento de mediación para la resolución amistosa del litigio. La información relativa al procedimiento de mediación está disponible en las sedes y en los sitios web de las distintas Inspecciones Regionales de Comercio;</w:t>
      </w:r>
    </w:p>
    <w:p>
      <w:pPr>
        <w:tabs>
          <w:tab w:pos="1440" w:val="left"/>
        </w:tabs>
        <w:ind w:left="1440" w:hanging="576"/>
        <w:jc w:val="both"/>
      </w:pPr>
      <w:r>
        <w:t>b)</w:t>
        <w:tab/>
      </w:r>
      <w:r>
        <w:rPr>
          <w:b w:val="0"/>
        </w:rPr>
        <w:t>dirigirse al tribunal arbitral permanente de consumo que actúa ante el inspector regional de la Inspección de Comercio con una solicitud de resolución del litigio derivado del contrato celebrado. La lista de tribunales arbitrales permanentes de consumo está disponible en el sitio web de la Oficina de Protección de la Competencia y de los Consumidores: www.uokik.gov.pl/wazne_adresy.php;</w:t>
      </w:r>
    </w:p>
    <w:p>
      <w:pPr>
        <w:tabs>
          <w:tab w:pos="1440" w:val="left"/>
        </w:tabs>
        <w:ind w:left="1440" w:hanging="576"/>
        <w:jc w:val="both"/>
      </w:pPr>
      <w:r>
        <w:t>c)</w:t>
        <w:tab/>
      </w:r>
      <w:r>
        <w:rPr>
          <w:b w:val="0"/>
        </w:rPr>
        <w:t>solicitar asistencia jurídica gratuita al defensor municipal (de distrito) de los consumidores o a una organización social cuyas funciones estatutarias incluyan la protección de los consumidores, entre otras la Federación de Consumidores (www.federacja-konsumentow.org.pl).</w:t>
      </w:r>
    </w:p>
    <w:p>
      <w:pPr>
        <w:ind w:left="720"/>
        <w:jc w:val="both"/>
      </w:pPr>
      <w:r>
        <w:rPr>
          <w:b w:val="0"/>
        </w:rPr>
        <w:t>La información detallada sobre los métodos extrajudiciales de resolución de reclamaciones y de reclamación de pretensiones, así como las normas de acceso a dichos procedimientos, está disponible en las sedes y en los sitios web de los defensores de los consumidores de distrito (municipales), de las organizaciones sociales cuyas funciones estatutarias incluyen la protección de los consumidores, de las Inspecciones Regionales de Comercio y de la Oficina de Protección de la Competencia y de los Consumidores.</w:t>
      </w:r>
    </w:p>
    <w:p>
      <w:pPr>
        <w:ind w:left="720"/>
        <w:jc w:val="both"/>
      </w:pPr>
      <w:r>
        <w:rPr>
          <w:b w:val="0"/>
        </w:rPr>
        <w:t>El recurso a los métodos extrajudiciales de resolución de reclamaciones y de reclamación de pretensiones es voluntario y puede tener lugar cuando ambas partes del litigio así lo acuerden.</w:t>
      </w:r>
    </w:p>
    <w:p>
      <w:pPr>
        <w:spacing w:before="240"/>
      </w:pPr>
      <w:r>
        <w:rPr>
          <w:b/>
        </w:rPr>
        <w:t>III. DISPOSICIONES FINALES</w:t>
      </w:r>
    </w:p>
    <w:p>
      <w:pPr>
        <w:tabs>
          <w:tab w:pos="720" w:val="left"/>
        </w:tabs>
        <w:ind w:left="720" w:hanging="432"/>
        <w:jc w:val="both"/>
      </w:pPr>
      <w:r>
        <w:t>1.</w:t>
        <w:tab/>
      </w:r>
      <w:r>
        <w:rPr>
          <w:b w:val="0"/>
        </w:rPr>
        <w:t>El Reglamento entra en vigor el 04.08.2026.</w:t>
      </w:r>
    </w:p>
    <w:p>
      <w:pPr>
        <w:tabs>
          <w:tab w:pos="720" w:val="left"/>
        </w:tabs>
        <w:ind w:left="720" w:hanging="432"/>
        <w:jc w:val="both"/>
      </w:pPr>
      <w:r>
        <w:t>2.</w:t>
        <w:tab/>
      </w:r>
      <w:r>
        <w:rPr>
          <w:b w:val="0"/>
        </w:rPr>
        <w:t>El Organizador se reserva el derecho a modificar el Reglamento, así como a finalizar anticipadamente la Promoción. En caso de modificación del Reglamento de la Promoción, cuando la modificación no vulnere ni altere de forma sustancial los derechos y obligaciones del Participante, podrá introducirse sin previo aviso y surtirá efecto en la fecha de su anuncio. En los demás casos, el Reglamento de la Promoción podrá modificarse por motivos importantes, entre los que se incluyen, entre otros, un cambio en las disposiciones legales de aplicación general o en su interpretación, la emisión de una resolución o decisión por parte de un órgano competente, la necesidad de contrarrestar abusos, o un cambio técnico u organizativo que no afecte a la esencia de la Promoción.</w:t>
      </w:r>
    </w:p>
    <w:p>
      <w:pPr>
        <w:tabs>
          <w:tab w:pos="720" w:val="left"/>
        </w:tabs>
        <w:ind w:left="720" w:hanging="432"/>
        <w:jc w:val="both"/>
      </w:pPr>
      <w:r>
        <w:t>3.</w:t>
        <w:tab/>
      </w:r>
      <w:r>
        <w:rPr>
          <w:b w:val="0"/>
        </w:rPr>
        <w:t>La modificación del Reglamento no afecta a los derechos adquiridos de los Participantes. A los Contratos celebrados antes de la entrada en vigor de la modificación se les aplica la versión del Reglamento vigente en la fecha de celebración del Contrato.</w:t>
      </w:r>
    </w:p>
    <w:p>
      <w:pPr>
        <w:tabs>
          <w:tab w:pos="720" w:val="left"/>
        </w:tabs>
        <w:ind w:left="720" w:hanging="432"/>
        <w:jc w:val="both"/>
      </w:pPr>
      <w:r>
        <w:t>4.</w:t>
        <w:tab/>
      </w:r>
      <w:r>
        <w:rPr>
          <w:b w:val="0"/>
        </w:rPr>
        <w:t>En caso de modificación sustancial del Reglamento de la Promoción que afecte de forma desfavorable a un Participante que sea Consumidor, este podrá renunciar a su participación en la Promoción en un plazo de 14 días desde la entrada en vigor de la modificación, sin consecuencias negativas.</w:t>
      </w:r>
    </w:p>
    <w:p>
      <w:pPr>
        <w:tabs>
          <w:tab w:pos="720" w:val="left"/>
        </w:tabs>
        <w:ind w:left="720" w:hanging="432"/>
        <w:jc w:val="both"/>
      </w:pPr>
      <w:r>
        <w:t>5.</w:t>
        <w:tab/>
      </w:r>
      <w:r>
        <w:rPr>
          <w:b w:val="0"/>
        </w:rPr>
        <w:t>En las cuestiones no reguladas en el presente Reglamento se aplican las disposiciones del Código Civil y demás disposiciones legales de aplicación general.</w:t>
      </w:r>
    </w:p>
    <w:p>
      <w:pPr>
        <w:tabs>
          <w:tab w:pos="720" w:val="left"/>
        </w:tabs>
        <w:ind w:left="720" w:hanging="432"/>
        <w:jc w:val="both"/>
      </w:pPr>
      <w:r>
        <w:t>6.</w:t>
        <w:tab/>
      </w:r>
      <w:r>
        <w:rPr>
          <w:b w:val="0"/>
        </w:rPr>
        <w:t>El contenido del presente Reglamento se pone a disposición de forma gratuita en el domicilio social del Organizador y en la dirección: https://opakowania.inpost.pl/pl-pl</w:t>
      </w:r>
    </w:p>
    <w:p>
      <w:pPr>
        <w:spacing w:before="360"/>
        <w:jc w:val="center"/>
      </w:pPr>
      <w:r>
        <w:rPr>
          <w:b/>
        </w:rPr>
        <w:t>CLÁUSULA INFORMATIVA PARA LOS PARTICIPANTES EN LA PROMOCIÓN</w:t>
      </w:r>
    </w:p>
    <w:p>
      <w:pPr>
        <w:spacing w:before="200"/>
      </w:pPr>
      <w:r>
        <w:rPr>
          <w:b/>
        </w:rPr>
        <w:t>1. Responsable del tratamiento de los datos personales</w:t>
      </w:r>
    </w:p>
    <w:p>
      <w:pPr>
        <w:jc w:val="both"/>
      </w:pPr>
      <w:r>
        <w:rPr>
          <w:b w:val="0"/>
        </w:rPr>
        <w:t>El responsable del tratamiento de los datos personales es Packhelp Spółka Akcyjna, con domicilio social en Varsovia, ul. Kolejowa 5/7, 01-217 Varsovia, inscrita en el registro de empresarios del Registro Judicial Nacional llevado por el Juzgado de Distrito de la Capital de Varsovia, XIII División Mercantil del Registro Judicial Nacional, con el número KRS 0000831872, NIP 1231308129 y REGON 362932312, con un capital social de 167.137,60 zł, correo electrónico: gdpr@packhelp.com, teléfono: +48 579 777 611</w:t>
      </w:r>
    </w:p>
    <w:p>
      <w:pPr>
        <w:spacing w:before="200"/>
      </w:pPr>
      <w:r>
        <w:rPr>
          <w:b/>
        </w:rPr>
        <w:t>2. Fines y bases del tratamiento de los datos personales</w:t>
      </w:r>
    </w:p>
    <w:p>
      <w:pPr>
        <w:jc w:val="both"/>
      </w:pPr>
      <w:r>
        <w:rPr>
          <w:b w:val="0"/>
        </w:rPr>
        <w:t>El responsable del tratamiento trata los datos con el fin de permitirle participar en la Promoción. La base del tratamiento es su consentimiento (art. 6, apdo. 1, letra a, del RGPD).</w:t>
      </w:r>
    </w:p>
    <w:p>
      <w:pPr>
        <w:jc w:val="both"/>
      </w:pPr>
      <w:r>
        <w:rPr>
          <w:b w:val="0"/>
        </w:rPr>
        <w:t>Si celebra con el responsable del tratamiento un contrato relativo a los servicios o productos ofrecidos en el marco de la Promoción, el responsable del tratamiento tratará también sus datos personales con el fin de ejecutar dicho contrato. La base del tratamiento será entonces el art. 6, apdo. 1, letra b, del RGPD.</w:t>
      </w:r>
    </w:p>
    <w:p>
      <w:pPr>
        <w:jc w:val="both"/>
      </w:pPr>
      <w:r>
        <w:rPr>
          <w:b w:val="0"/>
        </w:rPr>
        <w:t>El responsable del tratamiento no adopta respecto a usted ninguna decisión basada únicamente en el tratamiento automatizado, incluida la elaboración de perfiles.</w:t>
      </w:r>
    </w:p>
    <w:p>
      <w:pPr>
        <w:spacing w:before="200"/>
      </w:pPr>
      <w:r>
        <w:rPr>
          <w:b/>
        </w:rPr>
        <w:t>3. Destinatarios de los datos</w:t>
      </w:r>
    </w:p>
    <w:p>
      <w:pPr>
        <w:jc w:val="both"/>
      </w:pPr>
      <w:r>
        <w:rPr>
          <w:b w:val="0"/>
        </w:rPr>
        <w:t>El responsable del tratamiento puede compartir sus datos personales con sus subcontratistas (entidades cuyos servicios utiliza en el tratamiento), tales como:</w:t>
      </w:r>
    </w:p>
    <w:p>
      <w:pPr>
        <w:tabs>
          <w:tab w:pos="720" w:val="left"/>
        </w:tabs>
        <w:ind w:left="720" w:hanging="432"/>
        <w:jc w:val="both"/>
      </w:pPr>
      <w:r>
        <w:t>1)</w:t>
        <w:tab/>
      </w:r>
      <w:r>
        <w:rPr>
          <w:b w:val="0"/>
        </w:rPr>
        <w:t>proveedores de servicios informáticos;</w:t>
      </w:r>
    </w:p>
    <w:p>
      <w:pPr>
        <w:tabs>
          <w:tab w:pos="720" w:val="left"/>
        </w:tabs>
        <w:ind w:left="720" w:hanging="432"/>
        <w:jc w:val="both"/>
      </w:pPr>
      <w:r>
        <w:t>2)</w:t>
        <w:tab/>
      </w:r>
      <w:r>
        <w:rPr>
          <w:b w:val="0"/>
        </w:rPr>
        <w:t>entidades que prestan servicios de contabilidad;</w:t>
      </w:r>
    </w:p>
    <w:p>
      <w:pPr>
        <w:tabs>
          <w:tab w:pos="720" w:val="left"/>
        </w:tabs>
        <w:ind w:left="720" w:hanging="432"/>
        <w:jc w:val="both"/>
      </w:pPr>
      <w:r>
        <w:t>3)</w:t>
        <w:tab/>
      </w:r>
      <w:r>
        <w:rPr>
          <w:b w:val="0"/>
        </w:rPr>
        <w:t>entidades que prestan servicios de marketing;</w:t>
      </w:r>
    </w:p>
    <w:p>
      <w:pPr>
        <w:tabs>
          <w:tab w:pos="720" w:val="left"/>
        </w:tabs>
        <w:ind w:left="720" w:hanging="432"/>
        <w:jc w:val="both"/>
      </w:pPr>
      <w:r>
        <w:t>4)</w:t>
        <w:tab/>
      </w:r>
      <w:r>
        <w:rPr>
          <w:b w:val="0"/>
        </w:rPr>
        <w:t>entidades que colaboran en la organización de la Promoción.</w:t>
      </w:r>
    </w:p>
    <w:p>
      <w:pPr>
        <w:jc w:val="both"/>
      </w:pPr>
      <w:r>
        <w:rPr>
          <w:b w:val="0"/>
        </w:rPr>
        <w:t>El responsable del tratamiento está facultado para compartir los datos personales también con otras entidades, si tal obligación se deriva de la ley.</w:t>
      </w:r>
    </w:p>
    <w:p>
      <w:pPr>
        <w:jc w:val="both"/>
      </w:pPr>
      <w:r>
        <w:rPr>
          <w:b w:val="0"/>
        </w:rPr>
        <w:t>El responsable del tratamiento no transfiere datos personales a terceros países, salvo la comunicación de datos a los subcontratistas del responsable del tratamiento (entidades que tratan los datos en su nombre) que le prestan servicios informáticos; el responsable del tratamiento recurre únicamente a entidades que garantizan la conformidad de su actividad con el RGPD.</w:t>
      </w:r>
    </w:p>
    <w:p>
      <w:pPr>
        <w:spacing w:before="200"/>
      </w:pPr>
      <w:r>
        <w:rPr>
          <w:b/>
        </w:rPr>
        <w:t>4. Plazo de conservación de los datos</w:t>
      </w:r>
    </w:p>
    <w:p>
      <w:pPr>
        <w:jc w:val="both"/>
      </w:pPr>
      <w:r>
        <w:rPr>
          <w:b w:val="0"/>
        </w:rPr>
        <w:t>Los datos personales recogidos con el fin de permitirle participar en la Promoción son conservados por el responsable del tratamiento durante un período máximo de 3 años desde la finalización de la Promoción o hasta la prescripción de las pretensiones que puedan estar relacionadas con la Promoción.</w:t>
      </w:r>
    </w:p>
    <w:p>
      <w:pPr>
        <w:jc w:val="both"/>
      </w:pPr>
      <w:r>
        <w:rPr>
          <w:b w:val="0"/>
        </w:rPr>
        <w:t>Los datos obtenidos con el fin de ejecutar el contrato son tratados por el responsable del tratamiento durante un período de 3 años desde el día de ejecución del contrato o hasta la prescripción de las pretensiones que puedan estar relacionadas con el Contrato.</w:t>
      </w:r>
    </w:p>
    <w:p>
      <w:pPr>
        <w:spacing w:before="200"/>
      </w:pPr>
      <w:r>
        <w:rPr>
          <w:b/>
        </w:rPr>
        <w:t>5. Derechos de los interesados</w:t>
      </w:r>
    </w:p>
    <w:p>
      <w:pPr>
        <w:jc w:val="both"/>
      </w:pPr>
      <w:r>
        <w:rPr>
          <w:b w:val="0"/>
        </w:rPr>
        <w:t>Usted tiene los siguientes derechos:</w:t>
      </w:r>
    </w:p>
    <w:p>
      <w:pPr>
        <w:tabs>
          <w:tab w:pos="720" w:val="left"/>
        </w:tabs>
        <w:ind w:left="720" w:hanging="432"/>
        <w:jc w:val="both"/>
      </w:pPr>
      <w:r>
        <w:t>1)</w:t>
        <w:tab/>
      </w:r>
      <w:r>
        <w:rPr>
          <w:b w:val="0"/>
        </w:rPr>
        <w:t>el derecho de acceso a los datos personales y el derecho a recibir una copia de los mismos;</w:t>
      </w:r>
    </w:p>
    <w:p>
      <w:pPr>
        <w:tabs>
          <w:tab w:pos="720" w:val="left"/>
        </w:tabs>
        <w:ind w:left="720" w:hanging="432"/>
        <w:jc w:val="both"/>
      </w:pPr>
      <w:r>
        <w:t>2)</w:t>
        <w:tab/>
      </w:r>
      <w:r>
        <w:rPr>
          <w:b w:val="0"/>
        </w:rPr>
        <w:t>el derecho de rectificación de los datos personales;</w:t>
      </w:r>
    </w:p>
    <w:p>
      <w:pPr>
        <w:tabs>
          <w:tab w:pos="720" w:val="left"/>
        </w:tabs>
        <w:ind w:left="720" w:hanging="432"/>
        <w:jc w:val="both"/>
      </w:pPr>
      <w:r>
        <w:t>3)</w:t>
        <w:tab/>
      </w:r>
      <w:r>
        <w:rPr>
          <w:b w:val="0"/>
        </w:rPr>
        <w:t>el derecho de supresión de los datos personales;</w:t>
      </w:r>
    </w:p>
    <w:p>
      <w:pPr>
        <w:tabs>
          <w:tab w:pos="720" w:val="left"/>
        </w:tabs>
        <w:ind w:left="720" w:hanging="432"/>
        <w:jc w:val="both"/>
      </w:pPr>
      <w:r>
        <w:t>4)</w:t>
        <w:tab/>
      </w:r>
      <w:r>
        <w:rPr>
          <w:b w:val="0"/>
        </w:rPr>
        <w:t>el derecho a solicitar la limitación del tratamiento de los datos;</w:t>
      </w:r>
    </w:p>
    <w:p>
      <w:pPr>
        <w:tabs>
          <w:tab w:pos="720" w:val="left"/>
        </w:tabs>
        <w:ind w:left="720" w:hanging="432"/>
        <w:jc w:val="both"/>
      </w:pPr>
      <w:r>
        <w:t>5)</w:t>
        <w:tab/>
      </w:r>
      <w:r>
        <w:rPr>
          <w:b w:val="0"/>
        </w:rPr>
        <w:t>el derecho a la portabilidad de los datos personales;</w:t>
      </w:r>
    </w:p>
    <w:p>
      <w:pPr>
        <w:tabs>
          <w:tab w:pos="720" w:val="left"/>
        </w:tabs>
        <w:ind w:left="720" w:hanging="432"/>
        <w:jc w:val="both"/>
      </w:pPr>
      <w:r>
        <w:t>6)</w:t>
        <w:tab/>
      </w:r>
      <w:r>
        <w:rPr>
          <w:b w:val="0"/>
        </w:rPr>
        <w:t>el derecho de oposición al tratamiento de los datos personales;</w:t>
      </w:r>
    </w:p>
    <w:p>
      <w:pPr>
        <w:tabs>
          <w:tab w:pos="720" w:val="left"/>
        </w:tabs>
        <w:ind w:left="720" w:hanging="432"/>
        <w:jc w:val="both"/>
      </w:pPr>
      <w:r>
        <w:t>7)</w:t>
        <w:tab/>
      </w:r>
      <w:r>
        <w:rPr>
          <w:b w:val="0"/>
        </w:rPr>
        <w:t>el derecho a presentar una reclamación ante una autoridad de control.</w:t>
      </w:r>
    </w:p>
    <w:p>
      <w:pPr>
        <w:jc w:val="both"/>
      </w:pPr>
      <w:r>
        <w:rPr>
          <w:b w:val="0"/>
        </w:rPr>
        <w:t>Dado que el tratamiento de los datos se basa en el consentimiento, usted también tiene derecho a retirar en cualquier momento su consentimiento para el tratamiento de los datos personales. La retirada del consentimiento no afecta a la licitud del tratamiento realizado sobre la base del consentimiento antes de su retirada.</w:t>
      </w:r>
    </w:p>
    <w:p>
      <w:pPr>
        <w:jc w:val="both"/>
      </w:pPr>
      <w:r>
        <w:rPr>
          <w:b w:val="0"/>
        </w:rPr>
        <w:t>Para ejercer los derechos mencionados, puede ponerse en contacto con el responsable del tratamiento.</w:t>
      </w:r>
    </w:p>
    <w:p>
      <w:pPr>
        <w:spacing w:before="200"/>
      </w:pPr>
      <w:r>
        <w:rPr>
          <w:b/>
        </w:rPr>
        <w:t>6. Información sobre el carácter voluntario u obligatorio de facilitar los datos</w:t>
      </w:r>
    </w:p>
    <w:p>
      <w:pPr>
        <w:jc w:val="both"/>
      </w:pPr>
      <w:r>
        <w:rPr>
          <w:b w:val="0"/>
        </w:rPr>
        <w:t>Facilitar sus datos es voluntario; no obstante, sin facilitarlos, resulta imposible [la frase está incompleta en el documento de origen]</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20" w:line="240" w:lineRule="auto"/>
    </w:pPr>
    <w:rPr>
      <w:rFonts w:ascii="Arial" w:hAnsi="Arial"/>
      <w:sz w:val="22"/>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