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РЕГЛАМЕНТ РЕКЛАМНОЇ АКЦІЇ</w:t>
      </w:r>
    </w:p>
    <w:p>
      <w:pPr>
        <w:jc w:val="center"/>
      </w:pPr>
      <w:r>
        <w:rPr>
          <w:b/>
        </w:rPr>
        <w:t>«ДОДАЙ АКСЕСУАРИ ТА ОТРИМАЙ ЗНИЖКУ»</w:t>
      </w:r>
    </w:p>
    <w:p>
      <w:pPr>
        <w:jc w:val="center"/>
      </w:pPr>
      <w:r>
        <w:rPr>
          <w:b/>
        </w:rPr>
        <w:t>(далі — «Регламент»)</w:t>
      </w:r>
    </w:p>
    <w:p>
      <w:pPr>
        <w:spacing w:before="240"/>
      </w:pPr>
      <w:r>
        <w:rPr>
          <w:b/>
        </w:rPr>
        <w:t>I. ЗАГАЛЬНІ ПОЛОЖЕННЯ</w:t>
      </w:r>
    </w:p>
    <w:p>
      <w:pPr>
        <w:tabs>
          <w:tab w:pos="720" w:val="left"/>
        </w:tabs>
        <w:ind w:left="720" w:hanging="432"/>
        <w:jc w:val="both"/>
      </w:pPr>
      <w:r>
        <w:t>1.</w:t>
        <w:tab/>
      </w:r>
      <w:r>
        <w:rPr>
          <w:b w:val="0"/>
        </w:rPr>
        <w:t>Предметом цього Регламенту є визначення правил рекламної акції «</w:t>
      </w:r>
      <w:r>
        <w:rPr>
          <w:b/>
        </w:rPr>
        <w:t>ДОДАЙ АКСЕСУАРИ ТА ОТРИМАЙ ЗНИЖКУ</w:t>
      </w:r>
      <w:r>
        <w:rPr>
          <w:b w:val="0"/>
        </w:rPr>
        <w:t>» (далі — «</w:t>
      </w:r>
      <w:r>
        <w:rPr>
          <w:b/>
        </w:rPr>
        <w:t>Акція</w:t>
      </w:r>
      <w:r>
        <w:rPr>
          <w:b w:val="0"/>
        </w:rPr>
        <w:t>»).</w:t>
      </w:r>
    </w:p>
    <w:p>
      <w:pPr>
        <w:tabs>
          <w:tab w:pos="720" w:val="left"/>
        </w:tabs>
        <w:ind w:left="720" w:hanging="432"/>
        <w:jc w:val="both"/>
      </w:pPr>
      <w:r>
        <w:t>2.</w:t>
        <w:tab/>
      </w:r>
      <w:r>
        <w:rPr>
          <w:b w:val="0"/>
        </w:rPr>
        <w:t>Організатором є Packhelp Spółka Akcyjna із зареєстрованим офісом у Варшаві за адресою ul. Kolejowa 5/7, 01-217 Warszawa, внесена до реєстру підприємців Національного судового реєстру, який веде Районний суд столичного міста Варшави, XIII господарський відділ Національного судового реєстру, за номером KRS 0000831872, що має номери NIP 1231308129 та REGON 362932312, зі статутним капіталом у розмірі 167.137,60 zł (далі — «</w:t>
      </w:r>
      <w:r>
        <w:rPr>
          <w:b/>
        </w:rPr>
        <w:t>Організатор</w:t>
      </w:r>
      <w:r>
        <w:rPr>
          <w:b w:val="0"/>
        </w:rPr>
        <w:t>»).</w:t>
      </w:r>
    </w:p>
    <w:p>
      <w:pPr>
        <w:tabs>
          <w:tab w:pos="720" w:val="left"/>
        </w:tabs>
        <w:ind w:left="720" w:hanging="432"/>
        <w:jc w:val="both"/>
      </w:pPr>
      <w:r>
        <w:t>3.</w:t>
        <w:tab/>
      </w:r>
      <w:r>
        <w:rPr>
          <w:b w:val="0"/>
        </w:rPr>
        <w:t>Кожен Учасник Акції повинен ознайомитися зі змістом цього Регламенту, який встановлює правила та умови участі в Акції. Участь в Акції є добровільною. Участь в Акції означає згоду Учасника з умовами Акції, визначеними цим Регламентом. Акція триває з 04.08.2026 з 8:00:00 до 17.08.2026 до 23:59:59.</w:t>
      </w:r>
    </w:p>
    <w:p>
      <w:pPr>
        <w:tabs>
          <w:tab w:pos="720" w:val="left"/>
        </w:tabs>
        <w:ind w:left="720" w:hanging="432"/>
        <w:jc w:val="both"/>
      </w:pPr>
      <w:r>
        <w:t>4.</w:t>
        <w:tab/>
      </w:r>
      <w:r>
        <w:rPr>
          <w:b w:val="0"/>
        </w:rPr>
        <w:t>Акція полягає в наступному: Учасник, який здійснив покупку в період проведення Акції в Організатора на вебсайті за адресою: https://opakowania.inpost.pl/pl-pl, після додавання до кошика товарів із категорії «Аксесуари», отримує знижку в розмірі 12% (дванадцять відсотків) на все замовлення («</w:t>
      </w:r>
      <w:r>
        <w:rPr>
          <w:b/>
        </w:rPr>
        <w:t>Договір</w:t>
      </w:r>
      <w:r>
        <w:rPr>
          <w:b w:val="0"/>
        </w:rPr>
        <w:t>»). Знижка нараховується автоматично.</w:t>
      </w:r>
    </w:p>
    <w:p>
      <w:pPr>
        <w:tabs>
          <w:tab w:pos="720" w:val="left"/>
        </w:tabs>
        <w:ind w:left="720" w:hanging="432"/>
        <w:jc w:val="both"/>
      </w:pPr>
      <w:r>
        <w:t>5.</w:t>
        <w:tab/>
      </w:r>
      <w:r>
        <w:rPr>
          <w:b w:val="0"/>
        </w:rPr>
        <w:t>Участь в Акції можлива для Учасника, який одночасно виконує такі умови:</w:t>
      </w:r>
    </w:p>
    <w:p>
      <w:pPr>
        <w:tabs>
          <w:tab w:pos="1440" w:val="left"/>
        </w:tabs>
        <w:ind w:left="1440" w:hanging="576"/>
        <w:jc w:val="both"/>
      </w:pPr>
      <w:r>
        <w:t>5.1.</w:t>
        <w:tab/>
      </w:r>
      <w:r>
        <w:rPr>
          <w:b w:val="0"/>
        </w:rPr>
        <w:t>прийме зміст цього Регламенту;</w:t>
      </w:r>
    </w:p>
    <w:p>
      <w:pPr>
        <w:tabs>
          <w:tab w:pos="1440" w:val="left"/>
        </w:tabs>
        <w:ind w:left="1440" w:hanging="576"/>
        <w:jc w:val="both"/>
      </w:pPr>
      <w:r>
        <w:t>5.2.</w:t>
        <w:tab/>
      </w:r>
      <w:r>
        <w:rPr>
          <w:b w:val="0"/>
        </w:rPr>
        <w:t>укладе Договір протягом періоду проведення Акції.</w:t>
      </w:r>
    </w:p>
    <w:p>
      <w:pPr>
        <w:tabs>
          <w:tab w:pos="720" w:val="left"/>
        </w:tabs>
        <w:ind w:left="720" w:hanging="432"/>
        <w:jc w:val="both"/>
      </w:pPr>
      <w:r>
        <w:t>6.</w:t>
        <w:tab/>
      </w:r>
      <w:r>
        <w:rPr>
          <w:b w:val="0"/>
        </w:rPr>
        <w:t>Умови цієї Акції не поєднуються з іншими рекламними акціями, оголошеними Організатором.</w:t>
      </w:r>
    </w:p>
    <w:p>
      <w:pPr>
        <w:spacing w:before="240"/>
      </w:pPr>
      <w:r>
        <w:rPr>
          <w:b/>
        </w:rPr>
        <w:t>II. ПОРЯДОК РОЗГЛЯДУ РЕКЛАМАЦІЙ</w:t>
      </w:r>
    </w:p>
    <w:p>
      <w:pPr>
        <w:tabs>
          <w:tab w:pos="720" w:val="left"/>
        </w:tabs>
        <w:ind w:left="720" w:hanging="432"/>
        <w:jc w:val="both"/>
      </w:pPr>
      <w:r>
        <w:t>1.</w:t>
        <w:tab/>
      </w:r>
      <w:r>
        <w:rPr>
          <w:b w:val="0"/>
        </w:rPr>
        <w:t>Рекламації щодо перебігу Акції можуть подаватися листом на адресу: Packhelp S.A. із зареєстрованим офісом у Варшаві, ul. Kolejowa 5/7, 01-217 Warszawa, або в електронній формі шляхом надсилання повідомлення на адресу електронної пошти: kontakt@instore.com. Рекламація повинна містити позначку про те, що вона стосується цієї Акції, а також ім'я та прізвище або найменування Учасника, який подає рекламацію, його адресу або електронну адресу (залежно від обраного способу контакту з Організатором), а також точний опис і зазначення причини рекламації.</w:t>
      </w:r>
    </w:p>
    <w:p>
      <w:pPr>
        <w:tabs>
          <w:tab w:pos="720" w:val="left"/>
        </w:tabs>
        <w:ind w:left="720" w:hanging="432"/>
        <w:jc w:val="both"/>
      </w:pPr>
      <w:r>
        <w:t>2.</w:t>
        <w:tab/>
      </w:r>
      <w:r>
        <w:rPr>
          <w:b w:val="0"/>
        </w:rPr>
        <w:t>Рекламації можуть подаватися протягом періоду проведення Акції, а також упродовж 30 днів після її завершення. Датою подання рекламації є дата відправлення поштою або надсилання електронною поштою рекламації Організатору. На вимогу Організатора Учасник повинен підтвердити обставини, що свідчать про дотримання зазначених вище строків.</w:t>
      </w:r>
    </w:p>
    <w:p>
      <w:pPr>
        <w:tabs>
          <w:tab w:pos="720" w:val="left"/>
        </w:tabs>
        <w:ind w:left="720" w:hanging="432"/>
        <w:jc w:val="both"/>
      </w:pPr>
      <w:r>
        <w:t>3.</w:t>
        <w:tab/>
      </w:r>
      <w:r>
        <w:rPr>
          <w:b w:val="0"/>
        </w:rPr>
        <w:t>Отримавши рекламацію відповідно до пунктів II.1 та II.2, Організатор надає на неї відповідь протягом 14 (чотирнадцяти) календарних днів із дня доставлення рекламації Організатору. Відповідь на рекламацію надається письмово поштою або електронною поштою залежно від того, у який спосіб було подано рекламацію.</w:t>
      </w:r>
    </w:p>
    <w:p>
      <w:pPr>
        <w:tabs>
          <w:tab w:pos="720" w:val="left"/>
        </w:tabs>
        <w:ind w:left="720" w:hanging="432"/>
        <w:jc w:val="both"/>
      </w:pPr>
      <w:r>
        <w:t>4.</w:t>
        <w:tab/>
      </w:r>
      <w:r>
        <w:rPr>
          <w:b w:val="0"/>
        </w:rPr>
        <w:t>Після вичерпання рекламаційної процедури Клієнт має право звернутися з незадоволеними вимогами до суду загальної юрисдикції.</w:t>
      </w:r>
    </w:p>
    <w:p>
      <w:pPr>
        <w:tabs>
          <w:tab w:pos="720" w:val="left"/>
        </w:tabs>
        <w:ind w:left="720" w:hanging="432"/>
        <w:jc w:val="both"/>
      </w:pPr>
      <w:r>
        <w:t>5.</w:t>
        <w:tab/>
      </w:r>
      <w:r>
        <w:rPr>
          <w:b w:val="0"/>
        </w:rPr>
        <w:t>Учасник має можливість скористатися позасудовими способами розгляду рекламацій і задоволення вимог, зокрема:</w:t>
      </w:r>
    </w:p>
    <w:p>
      <w:pPr>
        <w:tabs>
          <w:tab w:pos="1440" w:val="left"/>
        </w:tabs>
        <w:ind w:left="1440" w:hanging="576"/>
        <w:jc w:val="both"/>
      </w:pPr>
      <w:r>
        <w:t>a)</w:t>
        <w:tab/>
      </w:r>
      <w:r>
        <w:rPr>
          <w:b w:val="0"/>
        </w:rPr>
        <w:t>звернутися до воєводського інспектора Торгової інспекції (Inspekcja Handlowa) із заявою про порушення медіаційної процедури для мирного вирішення спору. Інформація щодо процедури медіації розміщена в приміщеннях та на вебсайтах відповідних Воєводських інспекторатів Торгової інспекції;</w:t>
      </w:r>
    </w:p>
    <w:p>
      <w:pPr>
        <w:tabs>
          <w:tab w:pos="1440" w:val="left"/>
        </w:tabs>
        <w:ind w:left="1440" w:hanging="576"/>
        <w:jc w:val="both"/>
      </w:pPr>
      <w:r>
        <w:t>b)</w:t>
        <w:tab/>
      </w:r>
      <w:r>
        <w:rPr>
          <w:b w:val="0"/>
        </w:rPr>
        <w:t>звернутися до постійного полюбовного споживчого суду, що діє при воєводському інспекторі Торгової інспекції, із заявою про вирішення спору, що виник із укладеного договору. Перелік постійних полюбовних споживчих судів розміщено на вебсайті Управління охорони конкуренції та споживачів: www.uokik.gov.pl/wazne_adresy.php;</w:t>
      </w:r>
    </w:p>
    <w:p>
      <w:pPr>
        <w:tabs>
          <w:tab w:pos="1440" w:val="left"/>
        </w:tabs>
        <w:ind w:left="1440" w:hanging="576"/>
        <w:jc w:val="both"/>
      </w:pPr>
      <w:r>
        <w:t>c)</w:t>
        <w:tab/>
      </w:r>
      <w:r>
        <w:rPr>
          <w:b w:val="0"/>
        </w:rPr>
        <w:t>звернутися за безкоштовною правовою допомогою до міського (районного) уповноваженого з питань захисту прав споживачів або до громадської організації, до статутних завдань якої належить захист споживачів, зокрема до Федерації споживачів (www.federacja-konsumentow.org.pl).</w:t>
      </w:r>
    </w:p>
    <w:p>
      <w:pPr>
        <w:ind w:left="720"/>
        <w:jc w:val="both"/>
      </w:pPr>
      <w:r>
        <w:rPr>
          <w:b w:val="0"/>
        </w:rPr>
        <w:t>Детальна інформація про позасудові способи розгляду рекламацій і задоволення вимог, а також правила доступу до цих процедур доступні в приміщеннях та на вебсайтах районних (міських) уповноважених з питань захисту прав споживачів, громадських організацій, до статутних завдань яких належить захист споживачів, Воєводських інспекторатів Торгової інспекції та Управління охорони конкуренції та споживачів.</w:t>
      </w:r>
    </w:p>
    <w:p>
      <w:pPr>
        <w:ind w:left="720"/>
        <w:jc w:val="both"/>
      </w:pPr>
      <w:r>
        <w:rPr>
          <w:b w:val="0"/>
        </w:rPr>
        <w:t>Використання позасудових способів розгляду рекламацій і задоволення вимог є добровільним і може відбуватися за згодою обох сторін спору.</w:t>
      </w:r>
    </w:p>
    <w:p>
      <w:pPr>
        <w:spacing w:before="240"/>
      </w:pPr>
      <w:r>
        <w:rPr>
          <w:b/>
        </w:rPr>
        <w:t>III. ПРИКІНЦЕВІ ПОЛОЖЕННЯ</w:t>
      </w:r>
    </w:p>
    <w:p>
      <w:pPr>
        <w:tabs>
          <w:tab w:pos="720" w:val="left"/>
        </w:tabs>
        <w:ind w:left="720" w:hanging="432"/>
        <w:jc w:val="both"/>
      </w:pPr>
      <w:r>
        <w:t>1.</w:t>
        <w:tab/>
      </w:r>
      <w:r>
        <w:rPr>
          <w:b w:val="0"/>
        </w:rPr>
        <w:t>Регламент набирає чинності 04.08.2026.</w:t>
      </w:r>
    </w:p>
    <w:p>
      <w:pPr>
        <w:tabs>
          <w:tab w:pos="720" w:val="left"/>
        </w:tabs>
        <w:ind w:left="720" w:hanging="432"/>
        <w:jc w:val="both"/>
      </w:pPr>
      <w:r>
        <w:t>2.</w:t>
        <w:tab/>
      </w:r>
      <w:r>
        <w:rPr>
          <w:b w:val="0"/>
        </w:rPr>
        <w:t>Організатор залишає за собою право змінювати Регламент, а також достроково завершити Акцію. У разі зміни Регламенту Акції, якщо зміна не порушує та суттєво не змінює прав та обов'язків Учасника, вона може бути внесена без попередження та діє з дня оголошення. В інших випадках Регламент Акції може бути змінений з важливих причин, до яких належать, зокрема, зміна загальнообов'язкових норм права або їх тлумачення, ухвалення рішення чи постанови уповноваженим органом, необхідність протидії зловживанням, технічна чи організаційна зміна, яка не впливає на суть Акції.</w:t>
      </w:r>
    </w:p>
    <w:p>
      <w:pPr>
        <w:tabs>
          <w:tab w:pos="720" w:val="left"/>
        </w:tabs>
        <w:ind w:left="720" w:hanging="432"/>
        <w:jc w:val="both"/>
      </w:pPr>
      <w:r>
        <w:t>3.</w:t>
        <w:tab/>
      </w:r>
      <w:r>
        <w:rPr>
          <w:b w:val="0"/>
        </w:rPr>
        <w:t>Зміна Регламенту не впливає на набуті права Учасників. До Договорів, укладених до набрання чинності зміною, застосовується редакція Регламенту, чинна на дату укладення Договору.</w:t>
      </w:r>
    </w:p>
    <w:p>
      <w:pPr>
        <w:tabs>
          <w:tab w:pos="720" w:val="left"/>
        </w:tabs>
        <w:ind w:left="720" w:hanging="432"/>
        <w:jc w:val="both"/>
      </w:pPr>
      <w:r>
        <w:t>4.</w:t>
        <w:tab/>
      </w:r>
      <w:r>
        <w:rPr>
          <w:b w:val="0"/>
        </w:rPr>
        <w:t>У разі істотної зміни Регламенту Акції, яка негативно впливає на Учасника, що є Споживачем, він може відмовитися від участі в Акції протягом 14 днів із дня набрання чинності зміною без негативних наслідків.</w:t>
      </w:r>
    </w:p>
    <w:p>
      <w:pPr>
        <w:tabs>
          <w:tab w:pos="720" w:val="left"/>
        </w:tabs>
        <w:ind w:left="720" w:hanging="432"/>
        <w:jc w:val="both"/>
      </w:pPr>
      <w:r>
        <w:t>5.</w:t>
        <w:tab/>
      </w:r>
      <w:r>
        <w:rPr>
          <w:b w:val="0"/>
        </w:rPr>
        <w:t>У питаннях, не врегульованих цим Регламентом, застосовуються норми Цивільного кодексу та інші загальнообов'язкові норми права.</w:t>
      </w:r>
    </w:p>
    <w:p>
      <w:pPr>
        <w:tabs>
          <w:tab w:pos="720" w:val="left"/>
        </w:tabs>
        <w:ind w:left="720" w:hanging="432"/>
        <w:jc w:val="both"/>
      </w:pPr>
      <w:r>
        <w:t>6.</w:t>
        <w:tab/>
      </w:r>
      <w:r>
        <w:rPr>
          <w:b w:val="0"/>
        </w:rPr>
        <w:t>Зміст цього Регламенту надається безкоштовно в офісі Організатора, а також за адресою: https://opakowania.inpost.pl/pl-pl</w:t>
      </w:r>
    </w:p>
    <w:p>
      <w:pPr>
        <w:spacing w:before="360"/>
        <w:jc w:val="center"/>
      </w:pPr>
      <w:r>
        <w:rPr>
          <w:b/>
        </w:rPr>
        <w:t>ІНФОРМАЦІЙНЕ ЗАСТЕРЕЖЕННЯ ДЛЯ УЧАСНИКІВ АКЦІЇ</w:t>
      </w:r>
    </w:p>
    <w:p>
      <w:pPr>
        <w:spacing w:before="200"/>
      </w:pPr>
      <w:r>
        <w:rPr>
          <w:b/>
        </w:rPr>
        <w:t>1. Адміністратор персональних даних</w:t>
      </w:r>
    </w:p>
    <w:p>
      <w:pPr>
        <w:jc w:val="both"/>
      </w:pPr>
      <w:r>
        <w:rPr>
          <w:b w:val="0"/>
        </w:rPr>
        <w:t>Адміністратором персональних даних є Packhelp Spółka Akcyjna із зареєстрованим офісом у Варшаві за адресою ul. Kolejowa 5/7, 01-217 Warszawa, внесена до реєстру підприємців Національного судового реєстру, який веде Районний суд столичного міста Варшави, XIII господарський відділ Національного судового реєстру, за номером KRS 0000831872, NIP 1231308129 та REGON 362932312, зі статутним капіталом у розмірі 167.137,60 zł, електронна пошта: gdpr@packhelp.com, телефон: +48 579 777 611</w:t>
      </w:r>
    </w:p>
    <w:p>
      <w:pPr>
        <w:spacing w:before="200"/>
      </w:pPr>
      <w:r>
        <w:rPr>
          <w:b/>
        </w:rPr>
        <w:t>2. Цілі та підстави обробки персональних даних</w:t>
      </w:r>
    </w:p>
    <w:p>
      <w:pPr>
        <w:jc w:val="both"/>
      </w:pPr>
      <w:r>
        <w:rPr>
          <w:b w:val="0"/>
        </w:rPr>
        <w:t>Адміністратор обробляє дані з метою надання Вам можливості взяти участь в Акції. Підставою обробки є надана Вами згода (ст. 6 ч. 1 п. «a» GDPR).</w:t>
      </w:r>
    </w:p>
    <w:p>
      <w:pPr>
        <w:jc w:val="both"/>
      </w:pPr>
      <w:r>
        <w:rPr>
          <w:b w:val="0"/>
        </w:rPr>
        <w:t>Якщо Ви укладете з Адміністратором договір щодо послуг або продуктів, пропонованих у межах Акції, Адміністратор оброблятиме Ваші персональні дані також з метою виконання такого договору. Підставою обробки буде тоді ст. 6 ч. 1 п. «b» GDPR.</w:t>
      </w:r>
    </w:p>
    <w:p>
      <w:pPr>
        <w:jc w:val="both"/>
      </w:pPr>
      <w:r>
        <w:rPr>
          <w:b w:val="0"/>
        </w:rPr>
        <w:t>Адміністратор не приймає щодо Вас рішень, які ґрунтувалися б виключно на автоматизованій обробці, у тому числі на профілюванні.</w:t>
      </w:r>
    </w:p>
    <w:p>
      <w:pPr>
        <w:spacing w:before="200"/>
      </w:pPr>
      <w:r>
        <w:rPr>
          <w:b/>
        </w:rPr>
        <w:t>3. Одержувачі даних</w:t>
      </w:r>
    </w:p>
    <w:p>
      <w:pPr>
        <w:jc w:val="both"/>
      </w:pPr>
      <w:r>
        <w:rPr>
          <w:b w:val="0"/>
        </w:rPr>
        <w:t>Адміністратор може надавати Ваші персональні дані своїм субпідрядникам (суб'єктам, послугами яких він користується під час обробки), таким як:</w:t>
      </w:r>
    </w:p>
    <w:p>
      <w:pPr>
        <w:tabs>
          <w:tab w:pos="720" w:val="left"/>
        </w:tabs>
        <w:ind w:left="720" w:hanging="432"/>
        <w:jc w:val="both"/>
      </w:pPr>
      <w:r>
        <w:t>1)</w:t>
        <w:tab/>
      </w:r>
      <w:r>
        <w:rPr>
          <w:b w:val="0"/>
        </w:rPr>
        <w:t>постачальники ІТ-послуг;</w:t>
      </w:r>
    </w:p>
    <w:p>
      <w:pPr>
        <w:tabs>
          <w:tab w:pos="720" w:val="left"/>
        </w:tabs>
        <w:ind w:left="720" w:hanging="432"/>
        <w:jc w:val="both"/>
      </w:pPr>
      <w:r>
        <w:t>2)</w:t>
        <w:tab/>
      </w:r>
      <w:r>
        <w:rPr>
          <w:b w:val="0"/>
        </w:rPr>
        <w:t>суб'єкти, що надають бухгалтерські послуги;</w:t>
      </w:r>
    </w:p>
    <w:p>
      <w:pPr>
        <w:tabs>
          <w:tab w:pos="720" w:val="left"/>
        </w:tabs>
        <w:ind w:left="720" w:hanging="432"/>
        <w:jc w:val="both"/>
      </w:pPr>
      <w:r>
        <w:t>3)</w:t>
        <w:tab/>
      </w:r>
      <w:r>
        <w:rPr>
          <w:b w:val="0"/>
        </w:rPr>
        <w:t>суб'єкти, що надають маркетингові послуги;</w:t>
      </w:r>
    </w:p>
    <w:p>
      <w:pPr>
        <w:tabs>
          <w:tab w:pos="720" w:val="left"/>
        </w:tabs>
        <w:ind w:left="720" w:hanging="432"/>
        <w:jc w:val="both"/>
      </w:pPr>
      <w:r>
        <w:t>4)</w:t>
        <w:tab/>
      </w:r>
      <w:r>
        <w:rPr>
          <w:b w:val="0"/>
        </w:rPr>
        <w:t>суб'єкти, що співпрацюють в організації Акції.</w:t>
      </w:r>
    </w:p>
    <w:p>
      <w:pPr>
        <w:jc w:val="both"/>
      </w:pPr>
      <w:r>
        <w:rPr>
          <w:b w:val="0"/>
        </w:rPr>
        <w:t>Адміністратор має право надавати персональні дані також іншим суб'єктам, якщо такий обов'язок випливає з норм права.</w:t>
      </w:r>
    </w:p>
    <w:p>
      <w:pPr>
        <w:jc w:val="both"/>
      </w:pPr>
      <w:r>
        <w:rPr>
          <w:b w:val="0"/>
        </w:rPr>
        <w:t>Адміністратор не передає персональні дані до третіх країн, за винятком надання даних субпідрядникам Адміністратора (суб'єктам, які обробляють дані від його імені), що надають Адміністратору ІТ-послуги; Адміністратор користується виключно суб'єктами, які забезпечують відповідність своєї діяльності GDPR.</w:t>
      </w:r>
    </w:p>
    <w:p>
      <w:pPr>
        <w:spacing w:before="200"/>
      </w:pPr>
      <w:r>
        <w:rPr>
          <w:b/>
        </w:rPr>
        <w:t>4. Строк зберігання даних</w:t>
      </w:r>
    </w:p>
    <w:p>
      <w:pPr>
        <w:jc w:val="both"/>
      </w:pPr>
      <w:r>
        <w:rPr>
          <w:b w:val="0"/>
        </w:rPr>
        <w:t>Персональні дані, зібрані з метою надання Вам можливості участі в Акції, Адміністратор зберігає максимально протягом 3 років від завершення Акції або до моменту спливу позовної давності за вимогами, які можуть бути пов'язані з Акцією.</w:t>
      </w:r>
    </w:p>
    <w:p>
      <w:pPr>
        <w:jc w:val="both"/>
      </w:pPr>
      <w:r>
        <w:rPr>
          <w:b w:val="0"/>
        </w:rPr>
        <w:t>Дані, отримані з метою виконання договору, Адміністратор обробляє протягом 3 років із дня виконання договору або до моменту спливу позовної давності за вимогами, які можуть бути пов'язані з Договором.</w:t>
      </w:r>
    </w:p>
    <w:p>
      <w:pPr>
        <w:spacing w:before="200"/>
      </w:pPr>
      <w:r>
        <w:rPr>
          <w:b/>
        </w:rPr>
        <w:t>5. Права суб'єктів, яких стосуються дані</w:t>
      </w:r>
    </w:p>
    <w:p>
      <w:pPr>
        <w:jc w:val="both"/>
      </w:pPr>
      <w:r>
        <w:rPr>
          <w:b w:val="0"/>
        </w:rPr>
        <w:t>Вам належать такі права:</w:t>
      </w:r>
    </w:p>
    <w:p>
      <w:pPr>
        <w:tabs>
          <w:tab w:pos="720" w:val="left"/>
        </w:tabs>
        <w:ind w:left="720" w:hanging="432"/>
        <w:jc w:val="both"/>
      </w:pPr>
      <w:r>
        <w:t>1)</w:t>
        <w:tab/>
      </w:r>
      <w:r>
        <w:rPr>
          <w:b w:val="0"/>
        </w:rPr>
        <w:t>право доступу до персональних даних та право отримати їх копію;</w:t>
      </w:r>
    </w:p>
    <w:p>
      <w:pPr>
        <w:tabs>
          <w:tab w:pos="720" w:val="left"/>
        </w:tabs>
        <w:ind w:left="720" w:hanging="432"/>
        <w:jc w:val="both"/>
      </w:pPr>
      <w:r>
        <w:t>2)</w:t>
        <w:tab/>
      </w:r>
      <w:r>
        <w:rPr>
          <w:b w:val="0"/>
        </w:rPr>
        <w:t>право на виправлення персональних даних;</w:t>
      </w:r>
    </w:p>
    <w:p>
      <w:pPr>
        <w:tabs>
          <w:tab w:pos="720" w:val="left"/>
        </w:tabs>
        <w:ind w:left="720" w:hanging="432"/>
        <w:jc w:val="both"/>
      </w:pPr>
      <w:r>
        <w:t>3)</w:t>
        <w:tab/>
      </w:r>
      <w:r>
        <w:rPr>
          <w:b w:val="0"/>
        </w:rPr>
        <w:t>право на видалення персональних даних;</w:t>
      </w:r>
    </w:p>
    <w:p>
      <w:pPr>
        <w:tabs>
          <w:tab w:pos="720" w:val="left"/>
        </w:tabs>
        <w:ind w:left="720" w:hanging="432"/>
        <w:jc w:val="both"/>
      </w:pPr>
      <w:r>
        <w:t>4)</w:t>
        <w:tab/>
      </w:r>
      <w:r>
        <w:rPr>
          <w:b w:val="0"/>
        </w:rPr>
        <w:t>право вимагати обмеження обробки даних;</w:t>
      </w:r>
    </w:p>
    <w:p>
      <w:pPr>
        <w:tabs>
          <w:tab w:pos="720" w:val="left"/>
        </w:tabs>
        <w:ind w:left="720" w:hanging="432"/>
        <w:jc w:val="both"/>
      </w:pPr>
      <w:r>
        <w:t>5)</w:t>
        <w:tab/>
      </w:r>
      <w:r>
        <w:rPr>
          <w:b w:val="0"/>
        </w:rPr>
        <w:t>право на перенесення персональних даних;</w:t>
      </w:r>
    </w:p>
    <w:p>
      <w:pPr>
        <w:tabs>
          <w:tab w:pos="720" w:val="left"/>
        </w:tabs>
        <w:ind w:left="720" w:hanging="432"/>
        <w:jc w:val="both"/>
      </w:pPr>
      <w:r>
        <w:t>6)</w:t>
        <w:tab/>
      </w:r>
      <w:r>
        <w:rPr>
          <w:b w:val="0"/>
        </w:rPr>
        <w:t>право заперечувати проти обробки персональних даних;</w:t>
      </w:r>
    </w:p>
    <w:p>
      <w:pPr>
        <w:tabs>
          <w:tab w:pos="720" w:val="left"/>
        </w:tabs>
        <w:ind w:left="720" w:hanging="432"/>
        <w:jc w:val="both"/>
      </w:pPr>
      <w:r>
        <w:t>7)</w:t>
        <w:tab/>
      </w:r>
      <w:r>
        <w:rPr>
          <w:b w:val="0"/>
        </w:rPr>
        <w:t>право подати скаргу до наглядового органу.</w:t>
      </w:r>
    </w:p>
    <w:p>
      <w:pPr>
        <w:jc w:val="both"/>
      </w:pPr>
      <w:r>
        <w:rPr>
          <w:b w:val="0"/>
        </w:rPr>
        <w:t>У зв'язку з тим, що обробка даних здійснюється на підставі згоди, Ви також маєте право відкликати згоду на обробку персональних даних у будь-який момент. Відкликання згоди не впливає на правомірність обробки, здійсненої на підставі згоди до її відкликання.</w:t>
      </w:r>
    </w:p>
    <w:p>
      <w:pPr>
        <w:jc w:val="both"/>
      </w:pPr>
      <w:r>
        <w:rPr>
          <w:b w:val="0"/>
        </w:rPr>
        <w:t>Для реалізації зазначених вище прав Ви можете зв'язатися з Адміністратором.</w:t>
      </w:r>
    </w:p>
    <w:p>
      <w:pPr>
        <w:spacing w:before="200"/>
      </w:pPr>
      <w:r>
        <w:rPr>
          <w:b/>
        </w:rPr>
        <w:t>6. Інформація про добровільність чи обов'язковість надання даних</w:t>
      </w:r>
    </w:p>
    <w:p>
      <w:pPr>
        <w:jc w:val="both"/>
      </w:pPr>
      <w:r>
        <w:rPr>
          <w:b w:val="0"/>
        </w:rPr>
        <w:t>Надання Вами даних є добровільним, проте без їх надання неможливо [речення обірване у вихідному документі]</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